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Autospacing="1" w:after="120"/>
        <w:rPr/>
      </w:pPr>
      <w:r>
        <w:rPr/>
      </w:r>
    </w:p>
    <w:tbl>
      <w:tblPr>
        <w:tblStyle w:val="Tabela-Siatka"/>
        <w:tblW w:w="907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428"/>
        <w:gridCol w:w="4644"/>
      </w:tblGrid>
      <w:tr>
        <w:trPr/>
        <w:tc>
          <w:tcPr>
            <w:tcW w:w="4428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  <w:t>Numer sprawy:  RIGKiD.271.</w:t>
            </w:r>
            <w:r>
              <w:rPr>
                <w:rFonts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  <w:t>5</w:t>
            </w:r>
            <w:r>
              <w:rPr>
                <w:rFonts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  <w:t>.2026</w:t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start"/>
              <w:rPr>
                <w:rFonts w:cs="Calibri" w:cstheme="minorHAnsi"/>
                <w:bCs/>
              </w:rPr>
            </w:pPr>
            <w:r>
              <w:rPr>
                <w:rFonts w:cs="Calibri" w:cstheme="minorHAnsi"/>
                <w:bCs/>
              </w:rPr>
            </w:r>
          </w:p>
        </w:tc>
        <w:tc>
          <w:tcPr>
            <w:tcW w:w="4644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end"/>
              <w:rPr>
                <w:rFonts w:cs="Calibri" w:cstheme="minorHAns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Załącznik nr 1 do zapytania ofertowego</w:t>
            </w:r>
          </w:p>
        </w:tc>
      </w:tr>
      <w:tr>
        <w:trPr/>
        <w:tc>
          <w:tcPr>
            <w:tcW w:w="9072" w:type="dxa"/>
            <w:gridSpan w:val="2"/>
            <w:tcBorders>
              <w:top w:val="nil"/>
              <w:start w:val="nil"/>
              <w:bottom w:val="nil"/>
              <w:end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center"/>
              <w:rPr>
                <w:sz w:val="44"/>
                <w:szCs w:val="44"/>
              </w:rPr>
            </w:pPr>
            <w:r>
              <w:rPr>
                <w:rFonts w:eastAsia="Calibri" w:cs=""/>
                <w:kern w:val="0"/>
                <w:sz w:val="44"/>
                <w:szCs w:val="44"/>
                <w:lang w:val="pl-PL" w:eastAsia="en-US" w:bidi="ar-SA"/>
              </w:rPr>
              <w:t>Szczegółowy Opis Przedmiotu Zamówienia</w:t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center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 xml:space="preserve">na zakup i </w:t>
            </w:r>
            <w:bookmarkStart w:id="0" w:name="_Hlk96781142"/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dostawę serwera baz danych w związku z realizacją projektu w ramach grantu „Cyberbezpieczny Samorząd”</w:t>
            </w:r>
            <w:bookmarkEnd w:id="0"/>
          </w:p>
          <w:p>
            <w:pPr>
              <w:pStyle w:val="Normal"/>
              <w:widowControl/>
              <w:suppressAutoHyphens w:val="true"/>
              <w:spacing w:lineRule="auto" w:line="276" w:beforeAutospacing="1"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76" w:beforeAutospacing="1" w:after="120"/>
        <w:jc w:val="end"/>
        <w:rPr/>
      </w:pPr>
      <w:r>
        <w:rPr/>
        <w:t> </w:t>
      </w:r>
    </w:p>
    <w:p>
      <w:pPr>
        <w:pStyle w:val="Normal"/>
        <w:spacing w:lineRule="auto" w:line="276" w:beforeAutospacing="1" w:after="120"/>
        <w:rPr/>
      </w:pPr>
      <w:r>
        <w:rPr/>
      </w:r>
      <w:r>
        <w:br w:type="page"/>
      </w:r>
    </w:p>
    <w:p>
      <w:pPr>
        <w:pStyle w:val="Heading1"/>
        <w:numPr>
          <w:ilvl w:val="0"/>
          <w:numId w:val="1"/>
        </w:numPr>
        <w:spacing w:lineRule="auto" w:line="276" w:beforeAutospacing="1" w:after="120"/>
        <w:rPr/>
      </w:pPr>
      <w:bookmarkStart w:id="1" w:name="_Toc197970016"/>
      <w:r>
        <w:rPr/>
        <w:t xml:space="preserve">Opis przedmiotu zamówienia </w:t>
      </w:r>
      <w:bookmarkEnd w:id="1"/>
    </w:p>
    <w:p>
      <w:pPr>
        <w:pStyle w:val="Heading1"/>
        <w:numPr>
          <w:ilvl w:val="1"/>
          <w:numId w:val="1"/>
        </w:numPr>
        <w:spacing w:lineRule="auto" w:line="276" w:before="0" w:after="120"/>
        <w:rPr/>
      </w:pPr>
      <w:bookmarkStart w:id="2" w:name="_Toc197970017"/>
      <w:bookmarkStart w:id="3" w:name="_Toc181532230"/>
      <w:bookmarkStart w:id="4" w:name="_Toc176963700"/>
      <w:bookmarkEnd w:id="3"/>
      <w:bookmarkEnd w:id="4"/>
      <w:r>
        <w:rPr/>
        <w:t>Zakup serwera baz danych (1 szt.).</w:t>
      </w:r>
      <w:bookmarkEnd w:id="2"/>
    </w:p>
    <w:p>
      <w:pPr>
        <w:pStyle w:val="ListParagraph"/>
        <w:numPr>
          <w:ilvl w:val="0"/>
          <w:numId w:val="3"/>
        </w:numPr>
        <w:spacing w:lineRule="auto" w:line="276"/>
        <w:jc w:val="both"/>
        <w:rPr/>
      </w:pPr>
      <w:r>
        <w:rPr/>
        <w:t xml:space="preserve">Dostarczony sprzęt i oprogramowanie muszą być wolne od wad prawnych i fizycznych oraz nienoszący oznak użytkowania. 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/>
      </w:pPr>
      <w:r>
        <w:rPr/>
        <w:t xml:space="preserve">Dostarczony sprzęt i oprogramowanie muszą być fabrycznie nowe (tzn. wyprodukowane nie wcześniej, niż na 9 miesięcy przed ich dostarczeniem), muszą pochodzić z oficjalnego kanału sprzedaży producenta na rynek polski, pochodzić z seryjnej produkcji z uwzględnieniem opcji konfiguracyjnych przewidzianych przez producenta dla oferowanego modelu sprzętu i oprogramowania. 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/>
      </w:pPr>
      <w:r>
        <w:rPr/>
        <w:t>Niedopuszczalne są produkty prototypowe, nie dopuszcza się urządzeń długotrwale magazynowanych oraz pochodzących z programów wyprzedażowych producenta. Urządzenia nie mogą znajdować się na liście „end-of-sale”, „end-of-support”, „end-of-life” producenta.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/>
      </w:pPr>
      <w:r>
        <w:rPr/>
        <w:t xml:space="preserve">Wymagana ilość i rozmieszczenie (na zewnątrz obudowy) jakichkolwiek portów nie może być osiągnięta w wyniku stosowania konwerterów, przejściówek, itp., niedopuszczalne jest zastosowanie jakichkolwiek zewnętrznych przejściówek czy konwerterów. 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/>
      </w:pPr>
      <w:r>
        <w:rPr/>
        <w:t xml:space="preserve">Wszystkie urządzenia będą zasilane bezpośrednio z sieci 230V. 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/>
      </w:pPr>
      <w:r>
        <w:rPr/>
        <w:t>Wykonawca zapewni dostawę do wskazanej lokalizacji w siedzibie Zamawiającego.</w:t>
      </w:r>
    </w:p>
    <w:p>
      <w:pPr>
        <w:pStyle w:val="ListParagraph"/>
        <w:numPr>
          <w:ilvl w:val="0"/>
          <w:numId w:val="3"/>
        </w:numPr>
        <w:spacing w:lineRule="auto" w:line="276"/>
        <w:jc w:val="both"/>
        <w:rPr/>
      </w:pPr>
      <w:r>
        <w:rPr/>
        <w:t>Dla dostaw sprzętu informatycznego z oprogramowaniem Zamawiający wymaga fabrycznie nowego oprogramowania (nieużywanego nigdy wcześniej), w wersji z certyfikatem autentyczności dla każdej licencji, o ile producent oferowanego oprogramowania stosuje certyfikaty autentyczności. Wykonawca zobowiązany jest do dostarczenia fabrycznie nowego oprogramowania (w tym systemu operacyjnego) nieużywanego oraz nigdy wcześniej nieaktywowanego na innym urządzeniu oraz pochodzącego z legalnego źródła sprzedaży. W przypadku oprogramowania naklejka hologramowa winna być zabezpieczona przed możliwością odczytania klucza za pomocą zabezpieczeń stosowanych przez producenta, o ile producent oferowanego oprogramowania stosuje takie zabezpieczenia. Zamawiający zastrzega możliwość weryfikacji dostarczonego oprogramowania na etapie oceny ofert jak i na etapie dostawy pod kątem legalności oprogramowania bezpośrednio u producenta oprogramowania. Zamawiający zastrzega możliwość żądania od Wykonawcy na etapie dostawy przedstawienia dokumentów dotyczących zakupu oprogramowania (faktury, rachunki) w autoryzowanym kanale dystrybucyjnym producenta oprogramowania.</w:t>
      </w:r>
    </w:p>
    <w:p>
      <w:pPr>
        <w:pStyle w:val="ListParagraph"/>
        <w:spacing w:lineRule="auto" w:line="276"/>
        <w:ind w:start="360"/>
        <w:jc w:val="both"/>
        <w:rPr/>
      </w:pPr>
      <w:r>
        <w:rPr/>
      </w:r>
    </w:p>
    <w:p>
      <w:pPr>
        <w:pStyle w:val="Heading1"/>
        <w:numPr>
          <w:ilvl w:val="0"/>
          <w:numId w:val="1"/>
        </w:numPr>
        <w:spacing w:lineRule="auto" w:line="276" w:beforeAutospacing="1" w:after="120"/>
        <w:rPr/>
      </w:pPr>
      <w:r>
        <w:rPr/>
        <w:t>Minimalne parametry techniczne serwera baz danych</w:t>
      </w:r>
      <w:bookmarkStart w:id="5" w:name="_Toc201658769"/>
      <w:r>
        <w:rPr/>
        <w:t xml:space="preserve"> (1 szt.).</w:t>
      </w:r>
      <w:bookmarkEnd w:id="5"/>
    </w:p>
    <w:p>
      <w:pPr>
        <w:pStyle w:val="Normal"/>
        <w:spacing w:lineRule="auto" w:line="276" w:beforeAutospacing="1" w:after="120"/>
        <w:jc w:val="both"/>
        <w:rPr/>
      </w:pPr>
      <w:r>
        <w:rPr/>
        <w:t>Minimalne parametry techniczne serwera:</w:t>
      </w:r>
    </w:p>
    <w:p>
      <w:pPr>
        <w:pStyle w:val="ListParagraph"/>
        <w:numPr>
          <w:ilvl w:val="0"/>
          <w:numId w:val="2"/>
        </w:numPr>
        <w:spacing w:lineRule="auto" w:line="276" w:beforeAutospacing="1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Obudowa typu RACK o wysokości maksymalnie 2U z możliwością instalacji min. 16 dysków 2.5" Hot-Plug, z kompletem szyn umożliwiających montaż w szafie RACK i wysuwanie serwera do celów serwisowych oraz organizatorem do kabli.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Płyta główna z możliwością zainstalowania dwóch procesorów.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 xml:space="preserve">Zainstalowane dwa procesory ośmiordzeniowe klasy x86 dedykowane do pracy z oferowanym serwerem, umożliwiające osiągnięcie przez serwer wyniku co najmniej 250 punktów w teście SPECrate2017_fp_base dla konfiguracji dwuprocesorowej według wyników publikowanych na stronie </w:t>
      </w:r>
      <w:hyperlink r:id="rId2">
        <w:r>
          <w:rPr>
            <w:rStyle w:val="Style6"/>
            <w:rFonts w:cs="Calibri" w:cstheme="minorHAnsi"/>
            <w:lang w:eastAsia="pl-PL"/>
          </w:rPr>
          <w:t>www.spec.org</w:t>
        </w:r>
      </w:hyperlink>
      <w:r>
        <w:rPr>
          <w:rFonts w:cs="Calibri" w:cstheme="minorHAnsi"/>
          <w:lang w:eastAsia="pl-PL"/>
        </w:rPr>
        <w:t>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Pamięć RAM: zainstalowane min. 256 GB, płyta główna musi obsługiwać do min. 4 TB pamięci RAM, co najmniej 20 slotów na pamięć wolnych.</w:t>
      </w:r>
    </w:p>
    <w:p>
      <w:pPr>
        <w:pStyle w:val="ListParagraph"/>
        <w:numPr>
          <w:ilvl w:val="0"/>
          <w:numId w:val="2"/>
        </w:numPr>
        <w:spacing w:before="0" w:after="160"/>
        <w:contextualSpacing/>
        <w:jc w:val="both"/>
        <w:rPr/>
      </w:pPr>
      <w:r>
        <w:rPr>
          <w:rFonts w:cs="Calibri" w:cstheme="minorHAnsi"/>
          <w:lang w:eastAsia="pl-PL"/>
        </w:rPr>
        <w:t xml:space="preserve">Zabezpieczenia pamięci RAM: </w:t>
      </w:r>
      <w:r>
        <w:rPr/>
        <w:t>Memory Rank Sparing i/lub Memory Mirror i/lub Single Device Data Correction i/lub Memory Lockstep i/lub Chipkill i/lub Extended ECC i/lub Advanced Memory Device Correction i/lub AMD Memory Guard i/lub ECC i/lub Demand Scrubbing i/lub Patrol Scrubbing i/lub Permanent Fault Detection (PFD).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Gniazda PCIe: min. 5 slotów PCIE, co najmniej dwa wolne sloty w celu możliwości rozbudowy serwera.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Zintegrowana karta graficzna umożliwiająca wyświetlenie rozdzielczości min. 1280x1024.</w:t>
      </w:r>
    </w:p>
    <w:p>
      <w:pPr>
        <w:pStyle w:val="ListParagraph"/>
        <w:numPr>
          <w:ilvl w:val="0"/>
          <w:numId w:val="2"/>
        </w:numPr>
        <w:spacing w:before="0" w:after="16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Interfejsy sieciowe: Wbudowane co najmniej 2 interfejsy sieciowe 1Gb Ethernet w standardzie BaseT oraz 4 interfejsy sieciowe 10Gb Ethernet SFP+ wyposażone w dedykowane przez producenta moduły (wkładki) SFP+.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Dyski twarde: Możliwość instalacji dysków SATA, SAS, SSD. Zainstalowane pięć dysków SSD SATA o wydajności min. 6 Gb/s o pojemności nie mniejszej niż 960 GB każdy. W przypadku uszkodzenia dysku w okresie gwarancji Zamawiający wymaga by uszkodzony dysk pozostał jego własnością.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Kontroler RAID: Sprzętowy kontroler dyskowy, umożliwiający konfiguracje poziomów RAID: 0, 1, 5, 6, 10, 50, 60.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dla dysków samoszyfrujących.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Wbudowane porty:</w:t>
        <w:tab/>
        <w:t xml:space="preserve"> min. 1 zewnętrzny port VGA, min. 3 zewnętrzne porty USB, w tym co najmniej 1 port USB 3.x, co najmniej 1 port USB musi być dostępny z przodu obudowy. Dodatkowo min. jeden port dedykowany dla karty zarządzającej dostępny z przodu obudowy. Ilość dostępnych portów USB nie może być osiągnięta poprzez stosowanie zewnętrznych przejściówek, rozgałęziaczy czy dodatkowych kart rozszerzeń zajmujących jakikolwiek slot PCI Express serwera.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Wentylatory: Redundantne typu Hot Plug.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Zasilacze: Redundantne typu Hot Plug o mocy nieprzekraczającej 700 W każdy.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Karta zarządzania: Niezależna od zainstalowanego na serwerze systemu operacyjnego posiadająca dedykowane port RJ-45 Gigabit Ethernet umożliwiająca: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zdalny dostęp do graficznego interfejsu Web karty zarządzającej,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zdalne monitorowanie i informowanie o statusie serwera,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szyfrowane połączenie oraz autentykacje i autoryzację użytkownika,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podmontowania zdalnych wirtualnych napędów,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wirtualną konsolę z dostępem do myszy, klawiatury,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dla IPv6,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dla SNMP; IPMI2.0, VLAN tagging, SSH,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integracja z Active Directory,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dla dynamic DNS.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System bezpieczeństwa serwera realizowany poprzez następujące zabezpieczenia: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wbudowane diody informacyjne lub wyświetlacz informujące o stanie serwera;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blokada zamykana na klucz służąca do ochrony nieautoryzowanego dostępu do dysków twardych;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moduł TPM 2.0;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dynamicznego włączania i wyłączania portów USB na obudowie – bez potrzeby restartu serwera;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Wykonawca jest zobowiązany do dostawy wraz z serwerem systemu operacyjnego w formie licencji wieczystej umożliwiającego zarządzenie serwerem klasy Microsoft Windows Serwer 2025 Standard wraz z 100 licencjami dostępowymi umożliwiającymi korzystanie przez 100 użytkowników lub równoważnego systemu zgodnie z poniżej określonymi warunkami równoważności.</w:t>
      </w:r>
    </w:p>
    <w:p>
      <w:pPr>
        <w:pStyle w:val="ListParagraph"/>
        <w:spacing w:lineRule="auto" w:line="276" w:beforeAutospacing="1" w:after="120"/>
        <w:ind w:start="36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Warunki równoważności dla dostawy oprogramowania klasy Microsoft Windows Serwer Standard:</w:t>
      </w:r>
    </w:p>
    <w:p>
      <w:pPr>
        <w:pStyle w:val="ListParagraph"/>
        <w:numPr>
          <w:ilvl w:val="1"/>
          <w:numId w:val="2"/>
        </w:numPr>
        <w:spacing w:lineRule="auto" w:line="276" w:beforeAutospacing="1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Licencja musi uprawniać do uruchamiania serwerowego systemu operacyjnego w środowisku fizycznym i min. 2 wirtualnych środowisk serwerowego systemu operacyjnego za pomocą wbudowanych mechanizmów wirtualizacji.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wykorzystania, co najmniej 320 logicznych procesorów oraz co najmniej 4 TB pamięci RAM w środowisku fizycznym.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wykorzystywania 64 procesorów wirtualnych oraz 1TB pamięci RAM i dysku o pojemności min. 64 TB przez każdy wirtualny serwerowy system operacyjny.</w:t>
      </w:r>
    </w:p>
    <w:p>
      <w:pPr>
        <w:pStyle w:val="ListParagraph"/>
        <w:numPr>
          <w:ilvl w:val="1"/>
          <w:numId w:val="2"/>
        </w:numPr>
        <w:spacing w:lineRule="auto" w:line="276" w:before="0" w:after="160"/>
        <w:contextualSpacing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 xml:space="preserve">Możliwość budowania klastrów składających się z 64 węzłów, z możliwością uruchamiania 7000 maszyn wirtualnych. 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migracji maszyn wirtualnych bez zatrzymywania ich pracy między fizycznymi serwerami z uruchomionym mechanizmem wirtualizacji (hypervisor) przez sieć Ethernet, bez konieczności stosowania dodatkowych mechanizmów współdzielenia pamięci.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(na umożliwiającym to sprzęcie) dodawania i wymiany pamięci RAM bez przerywania pracy.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(na umożliwiającym to sprzęcie) dodawania i wymiany procesorów bez przerywania pracy.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Automatyczna weryfikacja cyfrowych sygnatur sterowników w celu sprawdzenia czy sterownik przeszedł testy jakości przeprowadzone przez producenta systemu operacyjnego.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dynamicznego obniżania poboru energii przez rdzenie procesorów niewykorzystywane w bieżącej pracy.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Mechanizm ten musi uwzględniać specyfikę procesorów wyposażonych w mechanizmy Hyper-Threading;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Wbudowany mechanizm klasyfikowania i indeksowania plików (dokumentów) w oparciu o ich zawartość.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Wbudowane szyfrowanie dysków przy pomocy mechanizmów posiadających certyfikat FIPS 140-2 lub równoważny wydany przez NIST lub inną agendę rządową zajmującą się bezpieczeństwem informacji.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uruchamianie aplikacji internetowych wykorzystujących technologię ASP.NET.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dystrybucji ruchu sieciowego HTTP pomiędzy kilka serwerów.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Wbudowana zapora internetowa (firewall) z obsługą definiowanych reguł dla ochrony połączeń internetowych i intranetowych.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Zlokalizowane w języku polskim, co najmniej następujące elementy: menu, przeglądarka internetowa, pomoc, komunikaty systemowe.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zmiany języka interfejsu po zainstalowaniu systemu, dla co najmniej 2 języków poprzez wybór z listy dostępnych lokalizacji.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dla większości powszechnie używanych urządzeń peryferyjnych (drukarek, urządzeń sieciowych, standardów USB, Plug&amp;Play).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zdalnej konfiguracji, administrowania oraz aktualizowania systemu.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Wsparcie dostępu do zasobu dyskowego SSO poprzez wiele ścieżek (Multipath).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Możliwość instalacji poprawek poprzez wgranie ich do obrazu instalacyjnego.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Mechanizmy zdalnej administracji oraz mechanizmy (również działające zdalnie) administracji przez skrypty.</w:t>
      </w:r>
    </w:p>
    <w:p>
      <w:pPr>
        <w:pStyle w:val="ListParagraph"/>
        <w:numPr>
          <w:ilvl w:val="1"/>
          <w:numId w:val="2"/>
        </w:numPr>
        <w:spacing w:lineRule="auto" w:line="276" w:before="0" w:after="12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 xml:space="preserve">O ile to konieczne ze względu na licencjonowanie producenta oferowanego serwerowego systemu operacyjnego Zamawiający wymaga dostarczenia licencji dostępowych dla 100 użytkowników. </w:t>
      </w:r>
    </w:p>
    <w:p>
      <w:pPr>
        <w:pStyle w:val="ListParagraph"/>
        <w:numPr>
          <w:ilvl w:val="0"/>
          <w:numId w:val="2"/>
        </w:numPr>
        <w:spacing w:lineRule="auto" w:line="276" w:before="0" w:after="120"/>
        <w:ind w:hanging="360" w:start="360" w:end="72"/>
        <w:contextualSpacing/>
        <w:jc w:val="both"/>
        <w:rPr>
          <w:color w:themeColor="text1" w:val="000000"/>
        </w:rPr>
      </w:pPr>
      <w:r>
        <w:rPr>
          <w:color w:themeColor="text1" w:val="000000"/>
        </w:rPr>
        <w:t>Oferowany serwer musi znajdować się na liście Windows Server Catalog i posiadać status „Certified for Windows” dla systemów Microsoft Windows Server 2019, Microsoft Windows Server 2022, Microsoft Windows Server 2025.</w:t>
      </w:r>
    </w:p>
    <w:p>
      <w:pPr>
        <w:pStyle w:val="ListParagraph"/>
        <w:numPr>
          <w:ilvl w:val="0"/>
          <w:numId w:val="2"/>
        </w:numPr>
        <w:spacing w:lineRule="auto" w:line="276" w:before="240" w:after="120"/>
        <w:ind w:hanging="360" w:start="360" w:end="72"/>
        <w:contextualSpacing/>
        <w:jc w:val="both"/>
        <w:rPr>
          <w:color w:themeColor="text1" w:val="000000"/>
        </w:rPr>
      </w:pPr>
      <w:r>
        <w:rPr>
          <w:color w:themeColor="text1" w:val="000000"/>
        </w:rPr>
        <w:t xml:space="preserve">Jakość produktu i sposobu jego wykonania: Certyfikat ISO 9001 lub inny równoważny dokument poświadczający, że producent serwera opracował, wdrożył i certyfikował system zarządzania jakością; Certyfikat ISO 50001 lub inny równoważny dokument poświadczający, że producent serwera posiada system zarządzania energią, zmniejszający zużycie energii, wpływy na środowisko i zwiększający rentowność; Deklaracja zgodności CE lub inny równoważny dokument poświadczający, ze oferowany serwer spełnia wszystkie zasadnicze wymagania zawarte w poszczególnych dyrektywach nowego podejścia przewidujących oznakowanie CE; Potwierdzenie spełnienia kryteriów środowiskowych, w tym zgodności z dyrektywą RoHS Unii Europejskiej o eliminacji substancji niebezpiecznych w postaci oświadczenia producenta serwera lub innego dokumentu potwierdzającego spełnienie kryteriów środowiskowych w tym zgodności z dyrektywą RoHS Unii Europejskiej o eliminacji substancji niebezpiecznych. </w:t>
      </w:r>
    </w:p>
    <w:p>
      <w:pPr>
        <w:pStyle w:val="ListParagraph"/>
        <w:numPr>
          <w:ilvl w:val="0"/>
          <w:numId w:val="2"/>
        </w:numPr>
        <w:spacing w:lineRule="auto" w:line="276" w:before="240" w:after="120"/>
        <w:ind w:hanging="360" w:start="360" w:end="72"/>
        <w:contextualSpacing/>
        <w:jc w:val="both"/>
        <w:rPr>
          <w:color w:themeColor="text1" w:val="000000"/>
        </w:rPr>
      </w:pPr>
      <w:r>
        <w:rPr>
          <w:rFonts w:cs="Calibri" w:cstheme="minorHAnsi"/>
          <w:color w:val="00000A"/>
          <w:lang w:eastAsia="pl-PL"/>
        </w:rPr>
        <w:t xml:space="preserve">Gwarancja: min. 60 miesięcy gwarancji producenta obejmująca wszystkie komponenty serwera wchodzące w skład oferowanej konfiguracji realizowanej w miejscu instalacji sprzętu z czasem reakcji serwisu do następnego dnia roboczego od przyjęcia zgłoszenia, w przypadku awarii dysków Zamawiający wymaga, aby dyski pozostały u Zamawiającego. Możliwość zgłaszania awarii w języku polskim poprzez ogólnopolską linię telefoniczną producenta oraz dedykowany portal techniczny producenta, dla obu kanałów w trybie ciągłym, tj. niezależnie od pory dnia, dni roboczych i dni wolnych od pracy. Zamawiający wymaga pojedynczego serwisowego punktu kontaktu dla całego rozwiązania Producenta (w tym także zaoferowanego oprogramowania) umożliwiającego komunikację w języku polskim. 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ocenę bezpieczeństwa cybernetycznego. Wszelkie naprawy mogą być realizowane przez osoby certyfikowane przez producenta, które po diagnostyce muszą z właściwym zestawem części do naprawy (potwierdzonym na etapie diagnostyki) rozpocząć naprawę w siedzibie Zamawiającego najpóźniej w następnym dniu roboczym (NBD) od zakończenia diagnostyki. W przypadku jeżeli serwis gwarancyjny urządzeń nie będzie realizowany bezpośrednio przez producenta urządzenia, wówczas firma serwisująca musi posiadać certyfikat ISO 9001 oraz ISO 27001 </w:t>
      </w:r>
      <w:r>
        <w:rPr>
          <w:color w:themeColor="text1" w:val="000000"/>
        </w:rPr>
        <w:t>lub inny równoważny dokument poświadczający</w:t>
      </w:r>
      <w:r>
        <w:rPr>
          <w:rFonts w:cs="Calibri" w:cstheme="minorHAnsi"/>
          <w:color w:val="00000A"/>
          <w:lang w:eastAsia="pl-PL"/>
        </w:rPr>
        <w:t>, że usługi serwisu świadczone będą zgodnie z zasadami wynikającymi z tych norm oraz firma serwisująca musi posiadać autoryzacje producenta urządzeń, w takim przypadku Wykonawca jest zobowiązany dostarczyć wraz z ofertą dokumenty potwierdzające spełnienie przez firmę serwisującą przedmiotowego wymogu. Możliwość przedłużenia gwarancji producenta do 72 miesięcy.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340" w:top="1417" w:footer="708" w:bottom="141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946818405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distT="0" distB="0" distL="114300" distR="114300" simplePos="0" relativeHeight="3" behindDoc="1" locked="0" layoutInCell="0" allowOverlap="1">
          <wp:simplePos x="0" y="0"/>
          <wp:positionH relativeFrom="margin">
            <wp:posOffset>1431925</wp:posOffset>
          </wp:positionH>
          <wp:positionV relativeFrom="paragraph">
            <wp:posOffset>-120015</wp:posOffset>
          </wp:positionV>
          <wp:extent cx="2849880" cy="511175"/>
          <wp:effectExtent l="0" t="0" r="0" b="0"/>
          <wp:wrapSquare wrapText="bothSides"/>
          <wp:docPr id="2" name="Obraz3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3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4988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-403860</wp:posOffset>
          </wp:positionH>
          <wp:positionV relativeFrom="paragraph">
            <wp:posOffset>-53975</wp:posOffset>
          </wp:positionV>
          <wp:extent cx="6538595" cy="6781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38595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2)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ef3894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a95c4a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00d3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145d9"/>
    <w:rPr/>
  </w:style>
  <w:style w:type="character" w:styleId="StopkaZnak" w:customStyle="1">
    <w:name w:val="Stopka Znak"/>
    <w:basedOn w:val="DefaultParagraphFont"/>
    <w:uiPriority w:val="99"/>
    <w:qFormat/>
    <w:rsid w:val="00c145d9"/>
    <w:rPr/>
  </w:style>
  <w:style w:type="character" w:styleId="PodtytuZnak" w:customStyle="1">
    <w:name w:val="Podtytuł Znak"/>
    <w:basedOn w:val="DefaultParagraphFont"/>
    <w:uiPriority w:val="11"/>
    <w:qFormat/>
    <w:rsid w:val="00a46045"/>
    <w:rPr>
      <w:rFonts w:eastAsia="" w:eastAsiaTheme="minorEastAsia"/>
      <w:color w:themeColor="text1" w:themeTint="a5" w:val="5A5A5A"/>
      <w:spacing w:val="15"/>
    </w:rPr>
  </w:style>
  <w:style w:type="character" w:styleId="TytuZnak" w:customStyle="1">
    <w:name w:val="Tytuł Znak"/>
    <w:basedOn w:val="DefaultParagraphFont"/>
    <w:uiPriority w:val="10"/>
    <w:qFormat/>
    <w:rsid w:val="00a4604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Nagwek1Znak" w:customStyle="1">
    <w:name w:val="Nagłówek 1 Znak"/>
    <w:basedOn w:val="DefaultParagraphFont"/>
    <w:uiPriority w:val="9"/>
    <w:qFormat/>
    <w:rsid w:val="00ef389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975da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f313c2"/>
    <w:rPr/>
  </w:style>
  <w:style w:type="character" w:styleId="Nagwek2Znak" w:customStyle="1">
    <w:name w:val="Nagłówek 2 Znak"/>
    <w:basedOn w:val="DefaultParagraphFont"/>
    <w:uiPriority w:val="9"/>
    <w:semiHidden/>
    <w:qFormat/>
    <w:rsid w:val="00a95c4a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cd5681"/>
    <w:rPr>
      <w:color w:val="605E5C"/>
      <w:shd w:fill="E1DFDD" w:val="clear"/>
    </w:rPr>
  </w:style>
  <w:style w:type="character" w:styleId="Strong">
    <w:name w:val="Strong"/>
    <w:uiPriority w:val="22"/>
    <w:qFormat/>
    <w:rsid w:val="00a1221f"/>
    <w:rPr>
      <w:b/>
      <w:bCs/>
    </w:rPr>
  </w:style>
  <w:style w:type="character" w:styleId="ct-span" w:customStyle="1">
    <w:name w:val="ct-span"/>
    <w:basedOn w:val="DefaultParagraphFont"/>
    <w:qFormat/>
    <w:rsid w:val="00ed1876"/>
    <w:rPr/>
  </w:style>
  <w:style w:type="character" w:styleId="hgkelc" w:customStyle="1">
    <w:name w:val="hgkelc"/>
    <w:basedOn w:val="DefaultParagraphFont"/>
    <w:qFormat/>
    <w:rsid w:val="009e2602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21433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21433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14330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14330"/>
    <w:rPr>
      <w:rFonts w:ascii="Segoe UI" w:hAnsi="Segoe UI" w:cs="Segoe UI"/>
      <w:sz w:val="18"/>
      <w:szCs w:val="18"/>
    </w:rPr>
  </w:style>
  <w:style w:type="character" w:styleId="has-pretty-child" w:customStyle="1">
    <w:name w:val="has-pretty-child"/>
    <w:basedOn w:val="DefaultParagraphFont"/>
    <w:qFormat/>
    <w:rsid w:val="009c1988"/>
    <w:rPr/>
  </w:style>
  <w:style w:type="character" w:styleId="hps" w:customStyle="1">
    <w:name w:val="hps"/>
    <w:basedOn w:val="DefaultParagraphFont"/>
    <w:qFormat/>
    <w:rsid w:val="00443c34"/>
    <w:rPr/>
  </w:style>
  <w:style w:type="character" w:styleId="TekstpodstawowyZnak" w:customStyle="1">
    <w:name w:val="Tekst podstawowy Znak"/>
    <w:link w:val="Tekstpodstawowy1"/>
    <w:semiHidden/>
    <w:qFormat/>
    <w:locked/>
    <w:rsid w:val="003956b0"/>
    <w:rPr>
      <w:lang w:val="x-none" w:eastAsia="pl-P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778f3"/>
    <w:rPr>
      <w:color w:val="605E5C"/>
      <w:shd w:fill="E1DFDD" w:val="clear"/>
    </w:rPr>
  </w:style>
  <w:style w:type="character" w:styleId="Nagwek3Znak" w:customStyle="1">
    <w:name w:val="Nagłówek 3 Znak"/>
    <w:basedOn w:val="DefaultParagraphFont"/>
    <w:uiPriority w:val="9"/>
    <w:semiHidden/>
    <w:qFormat/>
    <w:rsid w:val="00f00d3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c145d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145d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ubtitle">
    <w:name w:val="Subtitle"/>
    <w:basedOn w:val="Normal"/>
    <w:next w:val="Normal"/>
    <w:link w:val="PodtytuZnak"/>
    <w:uiPriority w:val="11"/>
    <w:qFormat/>
    <w:rsid w:val="00a46045"/>
    <w:pPr/>
    <w:rPr>
      <w:rFonts w:eastAsia="" w:eastAsiaTheme="minorEastAsia"/>
      <w:color w:themeColor="text1" w:themeTint="a5" w:val="5A5A5A"/>
      <w:spacing w:val="15"/>
    </w:rPr>
  </w:style>
  <w:style w:type="paragraph" w:styleId="Title">
    <w:name w:val="Title"/>
    <w:basedOn w:val="Normal"/>
    <w:next w:val="Normal"/>
    <w:link w:val="TytuZnak"/>
    <w:uiPriority w:val="10"/>
    <w:qFormat/>
    <w:rsid w:val="00a4604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IndexHeading">
    <w:name w:val="index heading"/>
    <w:basedOn w:val="Header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ef3894"/>
    <w:pPr>
      <w:outlineLvl w:val="9"/>
    </w:pPr>
    <w:rPr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a922e9"/>
    <w:pPr>
      <w:spacing w:before="0" w:after="160"/>
      <w:ind w:star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d1619d"/>
    <w:pPr>
      <w:tabs>
        <w:tab w:val="clear" w:pos="708"/>
        <w:tab w:val="left" w:pos="440" w:leader="none"/>
        <w:tab w:val="right" w:pos="9062" w:leader="dot"/>
      </w:tabs>
      <w:spacing w:before="0" w:after="100"/>
    </w:pPr>
    <w:rPr/>
  </w:style>
  <w:style w:type="paragraph" w:styleId="Default" w:customStyle="1">
    <w:name w:val="Default"/>
    <w:qFormat/>
    <w:rsid w:val="00624344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a1221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CommentText">
    <w:name w:val="annotation text"/>
    <w:basedOn w:val="Normal"/>
    <w:link w:val="TekstkomentarzaZnak"/>
    <w:uiPriority w:val="99"/>
    <w:unhideWhenUsed/>
    <w:rsid w:val="0021433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214330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1433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podstawowy1" w:customStyle="1">
    <w:name w:val="Tekst podstawowy1"/>
    <w:basedOn w:val="Normal"/>
    <w:link w:val="TekstpodstawowyZnak"/>
    <w:semiHidden/>
    <w:qFormat/>
    <w:rsid w:val="003956b0"/>
    <w:pPr>
      <w:spacing w:lineRule="auto" w:line="240" w:before="0" w:after="0"/>
      <w:jc w:val="both"/>
    </w:pPr>
    <w:rPr>
      <w:lang w:val="x-none" w:eastAsia="pl-PL"/>
    </w:rPr>
  </w:style>
  <w:style w:type="paragraph" w:styleId="Revision">
    <w:name w:val="Revision"/>
    <w:uiPriority w:val="99"/>
    <w:semiHidden/>
    <w:qFormat/>
    <w:rsid w:val="00096d7a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Tabelapozycja" w:customStyle="1">
    <w:name w:val="Tabela pozycja"/>
    <w:basedOn w:val="Normal"/>
    <w:qFormat/>
    <w:rsid w:val="00bb5814"/>
    <w:pPr>
      <w:widowControl w:val="false"/>
      <w:spacing w:lineRule="auto" w:line="240" w:before="0" w:after="0"/>
    </w:pPr>
    <w:rPr>
      <w:rFonts w:ascii="Arial" w:hAnsi="Arial" w:eastAsia="Times New Roman" w:cs="Arial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a460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Zwykatabela11">
    <w:name w:val="Zwykła tabela 11"/>
    <w:basedOn w:val="Standardowy"/>
    <w:uiPriority w:val="41"/>
    <w:rsid w:val="00422e49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FFFFF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spec.org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7B5BB-C536-4129-BC6E-74F0BD37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LibreOffice/26.2.2.2$Windows_X86_64 LibreOffice_project/1f77d10d6938fd34972958f64b2bcfa54f8b1ba5</Application>
  <AppVersion>15.0000</AppVersion>
  <Pages>5</Pages>
  <Words>1597</Words>
  <Characters>11100</Characters>
  <CharactersWithSpaces>12570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2026-02-24T16:55:00Z</dcterms:created>
  <dc:creator>Renata Kochanska</dc:creator>
  <dc:description/>
  <dc:language>pl-PL</dc:language>
  <cp:lastModifiedBy/>
  <cp:lastPrinted>2025-07-17T11:11:00Z</cp:lastPrinted>
  <dcterms:modified xsi:type="dcterms:W3CDTF">2026-04-23T08:31:56Z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